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58</w:t>
      </w:r>
    </w:p>
    <w:p>
      <w:r>
        <w:t>Bundesgericht (BGE), 2004-11-18, FR</w:t>
      </w:r>
    </w:p>
    <w:p>
      <w:r>
        <w:rPr>
          <w:b/>
        </w:rPr>
        <w:t xml:space="preserve">Quelle: </w:t>
      </w:r>
      <w:r>
        <w:t>https://mcp.opencaselaw.ch/entscheid/bge_131 II 58</w:t>
      </w:r>
    </w:p>
    <w:p>
      <w:r>
        <w:t>FR: ATF 131 II 58</w:t>
      </w:r>
    </w:p>
    <w:p>
      <w:r>
        <w:t>IT: DTF 131 II 58</w:t>
      </w:r>
    </w:p>
    <w:p>
      <w:pPr>
        <w:pStyle w:val="Heading2"/>
      </w:pPr>
      <w:r>
        <w:t>Regeste</w:t>
      </w:r>
    </w:p>
    <w:p>
      <w:r>
        <w:t>Regeste Art. 103 lit. a OG; Art. 12 JSG; Art. 10 JSV; Abschussbewilligung für einen Wolf. Das Kantonsgericht hat dem WWF die Beschwerdebefugnis zuerkannt zur Anfechtung der Abschussbewilligung für einen Wolf. Die Kantonsregierung ist nicht legitimiert, gegen diesen Entscheid Verwaltungsgerichtsbeschwerde zu erheben (E. 1).</w:t>
      </w:r>
    </w:p>
    <w:p>
      <w:pPr>
        <w:pStyle w:val="Heading2"/>
      </w:pPr>
      <w:r>
        <w:t>Erwägungen</w:t>
      </w:r>
    </w:p>
    <w:p>
      <w:r>
        <w:rPr>
          <w:b/>
        </w:rPr>
        <w:t>E. 1</w:t>
      </w:r>
    </w:p>
    <w:p>
      <w:r>
        <w:t>Le Tribunal fédéral examine d'office et avec une pleine cognition la recevabilité des recours qui lui sont soumis ( ATF 130 II 249 consid. 2 p. 250, ATF 130 II 302 consid. 3 p. 303/304, 306 consid. 1.1 p. 308, 321 consid. 1 p. 324, et les arrêts cités).</w:t>
      </w:r>
    </w:p>
    <w:p>
      <w:r>
        <w:rPr>
          <w:b/>
        </w:rPr>
        <w:t>E. 1.1</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129 II 183 consid. 3.1 p. 186; ATF 128 I 46 consid. 1b/aa p. 49, et les arrêts cités). Le litige porte sur la question de savoir si l'autorisation de tir selon le CLS est une décision au sens de l' art. 5 PA et si elle relève des BGE 131 II 58 S. 61 tâches fédérales au sens de l' art. 2 LPN , ce qui ouvrirait la voie du recours aux organisations nationales de protection de la nature selon l' art. 12 al. 1 LPN . En répondant par l'affirmative et en reconnaissant à la Fondation intimée le droit de contester au fond l'autorisation de tir, le Tribunal cantonal a statué en application du droit public fédéral. L'arrêt attaqué détermine les droits de l'intimée dans la procédure; il présente à cet égard les traits d'une décision au sens de l' art. 5 PA , attaquable par la voie du recours de droit administratif (cf. ATF 128 II 156 consid. 1a p. 158).</w:t>
      </w:r>
    </w:p>
    <w:p>
      <w:r>
        <w:rPr>
          <w:b/>
        </w:rPr>
        <w:t>E. 1.2</w:t>
      </w:r>
    </w:p>
    <w:p>
      <w:r>
        <w:t>Le Tribunal cantonal a annulé la décision du Conseil d'Etat qui n'était pas entré en matière sur le recours de la Fondation et renvoyé la cause à cette autorité pour qu'elle traite l'affaire au fond. Un arrêt de renvoi qui contient des instructions impératives destinées à l'autorité inférieure et met fin à la procédure sur les points tranchés dans les considérants, doit être considéré comme une décision finale ( ATF 129 II 286 consid. 4.2 p. 291; ATF 120 Ib 97 consid. 1b p. 99; ATF 118 Ib 196 consid. 1b p. 198; ATF 117 Ib 325 consid. 1b p. 327, et les arrêts cités). Déposé dans le délai de 30 jours dès la réception de la décision, le recours est ainsi recevable au regard des art. 101 let. a et 106 al. 1 OJ .</w:t>
      </w:r>
    </w:p>
    <w:p>
      <w:r>
        <w:rPr>
          <w:b/>
        </w:rPr>
        <w:t>E. 1.3</w:t>
      </w:r>
    </w:p>
    <w:p>
      <w:r>
        <w:t>Aux termes de l' art. 103 OJ , la qualité pour agir par la voie du recours de droit administratif est reconnue à quiconque est atteint par la décision attaquée et a un intérêt digne de protection à ce qu'elle soit annulée ou modifiée (let. a); aux départements fédéraux ou à la division compétente de l'administration fédérale, dans certains cas déterminés (let. b); à toute autre personne, organisation ou autorité à laquelle la législation fédérale accorde le droit de recours (let. c). Le Conseil d'Etat ne peut se prévaloir de l' art. 103 let. b OJ , qui ne concerne que les autorités fédérales (cf. ATF 127 II 32 consid. 1 p. 35/36). Il ne prétend pas davantage que la LChP lui accorderait un droit de recours contre les décisions de dernière instance cantonale relatives à l'application de cette loi; il ne saurait partant fonder sa qualité pour agir sur l' art. 103 let . c OJ ( ATF 123 II 371 consid. 2a p. 373/374, ATF 123 II 425 consid. 2a et b p. 427). Il reste à examiner ce qu'il en est au regard de l' art. 103 let. a OJ . Même si cette disposition concerne au premier chef les personnes privées, la jurisprudence reconnaît exceptionnellement aux autorités et collectivités publiques la qualité pour agir au regard de cette BGE 131 II 58 S. 62 disposition, lorsqu'elles sont touchées par la décision attaquée directement et de la même manière qu'un particulier, dans sa situation matérielle ou juridique ( ATF 125 II 192 consid. 2a/aa p. 184; ATF 124 II 409 consid. 1e/bb p. 417; ATF 123 II 371 consid. 2b p. 374, ATF 123 II 425 consid. 3a p. 427/428, 542 consid. 2d p. 544/545). Tel est le cas notamment lorsque l'autorité ou la collectivité concernée agit pour la sauvegarde de son patrimoine administratif ou financier ( ATF 125 II 192 consid. 2a/aa p. 194; ATF 124 II 409 consid. 1e/bb p. 417/418; ATF 123 II 371 consid. 2b p. 374, ATF 123 II 425 consid. 3a p. 427/428, 542 consid. 2d p. 545). Peut également agir selon l' art. 103 let. a OJ la collectivité qui, agissant dans le cadre de la puissance publique, est touchée dans son autonomie et dispose d'un intérêt digne de protection à l'annulation ou à la modification de la décision attaquée ( ATF 125 II 192 consid. 2a/aa p. 194; ATF 124 II 409 consid. 1e/bb p. 418; ATF 123 II 371 consid. 2b p. 374, ATF 123 II 425 consid. 3a p. 427/428, 542 consid. 2d p. 545), par exemple en tant que créancière d'un émolument (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 ATF 123 II 371 consid. 2c p. 374/375, ATF 123 II 425 consid. 3a p. 428). L'intérêt financier de l'Etat ne suffit pas, à lui seul, pour lui conférer la qualité pour recourir au sens de l' art. 103 let. a OJ . De même, l'intérêt à une application correcte et uniforme du droit fédéral n'est pas déterminant ( ATF 125 II 192 consid. 2a/aa p. 194/195; ATF 124 II 409 consid. 1e/bb p. 418; ATF 123 II 371 consid. 2d p. 375/376, ATF 123 II 425 consid. 3b p. 428, 542 consid. 2e p. 545). L'autorité déboutée dans la procédure de recours n'est ainsi pas recevable à agir ( ATF 124 II 409 consid. 1e/bb p. 418; ATF 123 II 371 consid. 2d p. 375). Partant, la collectivité ne saurait prétendre défendre une conception juridique déterminée, dans un domaine de sa compétence, qui contredit celle de l'autorité de recours ( ATF 124 II 409 consid. 1e/bb p. 418; ATF 123 II 371 consid. 2d p. 375/376, ATF 123 II 542 consid. 2f p. 545, et les arrêts cités). Dans une affaire ayant trait à l'égalité des salaires entre employés de l'administration cantonale, le Tribunal fédéral a admis exceptionnellement que le canton en tant qu'employeur agisse par la voie du recours de droit administratif contre une décision du tribunal cantonal supérieur ( ATF 124 II 409 consid. 1e/dd p. 419). BGE 131 II 58 S. 63 Le Conseil d'Etat tire son droit de recourir du fait que le canton est tenu de réparer une partie des dommages causés par le loup (soit 20 %, le solde étant mis à la charge de la Confédération; art. 10 al. 1 let. a OChP ), qu'il est destinataire de l'autorisation de tir et chargé de certaines mesures à l'encontre des animaux protégés provoquant des dégâts, selon la LChP. L'arrêt attaqué porte uniquement sur une question de procédure, par rapport à laquelle les intérêts allégués ne sont pas déterminants. La démarche du Conseil d'Etat vise en effet à soumettre au Tribunal fédéral la question de la nature juridique de l'autorisation de tir et de l'étendue des tâches fédérales au sens de l' art. 2 LPN , dans le but de faire infirmer la solution retenue par le Tribunal cantonal et rétablir la décision rendue en première instance cantonale. Ce litige porte sur l'application du droit fédéral, en relation avec laquelle le Conseil d'Etat ne peut faire valoir aucun intérêt à recourir au sens de l' art. 103 let. a OJ , sur le vu de la jurisprudence qui vient d'être rappelée. Que le canton soit chargé de l'exécution du droit fédéral ne lui confère pas, ipso facto, la qualité pour agir.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